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08"/>
        <w:gridCol w:w="4509"/>
      </w:tblGrid>
      <w:tr w:rsidR="00920639" w14:paraId="608E50BC" w14:textId="77777777" w:rsidTr="00920639">
        <w:tc>
          <w:tcPr>
            <w:tcW w:w="4508" w:type="dxa"/>
            <w:vAlign w:val="center"/>
          </w:tcPr>
          <w:p w14:paraId="792EC205" w14:textId="3D8D986B" w:rsidR="00920639" w:rsidRDefault="00920639" w:rsidP="00920639">
            <w:pPr>
              <w:spacing w:after="60" w:line="25" w:lineRule="atLeast"/>
              <w:rPr>
                <w:rFonts w:ascii="Gilroy Medium" w:hAnsi="Gilroy Medium"/>
              </w:rPr>
            </w:pPr>
            <w:r w:rsidRPr="00920639">
              <w:rPr>
                <w:rFonts w:ascii="Gilroy Medium" w:hAnsi="Gilroy Medium"/>
                <w:b/>
                <w:bCs/>
              </w:rPr>
              <w:t>Nombre</w:t>
            </w:r>
            <w:r>
              <w:rPr>
                <w:rFonts w:ascii="Gilroy Medium" w:hAnsi="Gilroy Medium"/>
              </w:rPr>
              <w:t xml:space="preserve">: </w:t>
            </w:r>
          </w:p>
        </w:tc>
        <w:tc>
          <w:tcPr>
            <w:tcW w:w="4509" w:type="dxa"/>
            <w:vAlign w:val="center"/>
          </w:tcPr>
          <w:p w14:paraId="11D62D23" w14:textId="0A6FB2D3" w:rsidR="00920639" w:rsidRDefault="00920639" w:rsidP="00920639">
            <w:pPr>
              <w:spacing w:after="60" w:line="25" w:lineRule="atLeast"/>
              <w:rPr>
                <w:rFonts w:ascii="Gilroy Medium" w:hAnsi="Gilroy Medium"/>
              </w:rPr>
            </w:pPr>
          </w:p>
        </w:tc>
      </w:tr>
      <w:tr w:rsidR="00920639" w14:paraId="1D252A90" w14:textId="77777777" w:rsidTr="00920639">
        <w:tc>
          <w:tcPr>
            <w:tcW w:w="4508" w:type="dxa"/>
            <w:vAlign w:val="center"/>
          </w:tcPr>
          <w:p w14:paraId="4EBC1EE7" w14:textId="7893F51D" w:rsidR="00920639" w:rsidRDefault="001E4648" w:rsidP="00920639">
            <w:pPr>
              <w:spacing w:after="60" w:line="25" w:lineRule="atLeast"/>
              <w:rPr>
                <w:rFonts w:ascii="Gilroy Medium" w:hAnsi="Gilroy Medium"/>
              </w:rPr>
            </w:pPr>
            <w:r>
              <w:rPr>
                <w:rFonts w:ascii="Gilroy Medium" w:hAnsi="Gilroy Medium"/>
                <w:b/>
                <w:bCs/>
              </w:rPr>
              <w:t>Curso</w:t>
            </w:r>
            <w:r w:rsidR="00920639">
              <w:rPr>
                <w:rFonts w:ascii="Gilroy Medium" w:hAnsi="Gilroy Medium"/>
              </w:rPr>
              <w:t>:</w:t>
            </w:r>
          </w:p>
        </w:tc>
        <w:tc>
          <w:tcPr>
            <w:tcW w:w="4509" w:type="dxa"/>
            <w:vAlign w:val="center"/>
          </w:tcPr>
          <w:p w14:paraId="21FA5F42" w14:textId="7A2BFFB9" w:rsidR="00920639" w:rsidRDefault="00920639" w:rsidP="00920639">
            <w:pPr>
              <w:spacing w:after="60" w:line="25" w:lineRule="atLeast"/>
              <w:rPr>
                <w:rFonts w:ascii="Gilroy Medium" w:hAnsi="Gilroy Medium"/>
              </w:rPr>
            </w:pPr>
            <w:r w:rsidRPr="00920639">
              <w:rPr>
                <w:rFonts w:ascii="Gilroy Medium" w:hAnsi="Gilroy Medium"/>
                <w:b/>
                <w:bCs/>
              </w:rPr>
              <w:t>Fecha</w:t>
            </w:r>
            <w:r>
              <w:rPr>
                <w:rFonts w:ascii="Gilroy Medium" w:hAnsi="Gilroy Medium"/>
              </w:rPr>
              <w:t>:</w:t>
            </w:r>
          </w:p>
        </w:tc>
      </w:tr>
    </w:tbl>
    <w:p w14:paraId="088D1621" w14:textId="77777777" w:rsidR="00920639" w:rsidRDefault="00920639" w:rsidP="00920639">
      <w:pPr>
        <w:spacing w:after="60" w:line="25" w:lineRule="atLeast"/>
        <w:rPr>
          <w:rFonts w:ascii="Gilroy Medium" w:hAnsi="Gilroy Medium"/>
        </w:rPr>
      </w:pPr>
    </w:p>
    <w:p w14:paraId="475AA1B7" w14:textId="3ACB5FEF" w:rsidR="00A74BE6" w:rsidRPr="00AD17C7" w:rsidRDefault="00BE4F11" w:rsidP="00A74BE6">
      <w:pPr>
        <w:pStyle w:val="Ttulo1"/>
        <w:jc w:val="center"/>
        <w:rPr>
          <w:rFonts w:ascii="Gilroy Medium" w:hAnsi="Gilroy Medium"/>
          <w:b/>
          <w:bCs/>
          <w:sz w:val="24"/>
          <w:szCs w:val="24"/>
        </w:rPr>
      </w:pPr>
      <w:r>
        <w:rPr>
          <w:rFonts w:ascii="Gilroy Medium" w:hAnsi="Gilroy Medium"/>
          <w:b/>
          <w:bCs/>
          <w:sz w:val="24"/>
          <w:szCs w:val="24"/>
        </w:rPr>
        <w:t>VALORES ABSOLUTOS Y RELATIVOS</w:t>
      </w:r>
    </w:p>
    <w:p w14:paraId="3128A9F2" w14:textId="77777777" w:rsidR="00BE4F11" w:rsidRPr="00BE4F11" w:rsidRDefault="00BE4F11" w:rsidP="00BE4F11">
      <w:pPr>
        <w:spacing w:afterLines="60" w:after="144" w:line="25" w:lineRule="atLeast"/>
        <w:jc w:val="both"/>
        <w:rPr>
          <w:rFonts w:ascii="Gilroy Medium" w:hAnsi="Gilroy Medium"/>
        </w:rPr>
      </w:pPr>
      <w:bookmarkStart w:id="0" w:name="_Hlk208183935"/>
      <w:r w:rsidRPr="00BE4F11">
        <w:rPr>
          <w:rFonts w:ascii="Gilroy Medium" w:hAnsi="Gilroy Medium"/>
        </w:rPr>
        <w:t>El valor absoluto representa la cantidad exacta que observamos. Por ejemplo, el número de habitantes de un municipio, como el caso de Puerto Rico, que, de acuerdo al Censo de Población, Hogares y Viviendas 2022, tiene 23.279 habitantes.</w:t>
      </w:r>
    </w:p>
    <w:p w14:paraId="000C812F" w14:textId="77777777" w:rsidR="00BE4F11" w:rsidRPr="00BE4F11" w:rsidRDefault="00BE4F11" w:rsidP="00BE4F11">
      <w:pPr>
        <w:spacing w:afterLines="60" w:after="144" w:line="25" w:lineRule="atLeast"/>
        <w:jc w:val="both"/>
        <w:rPr>
          <w:rFonts w:ascii="Gilroy Medium" w:hAnsi="Gilroy Medium"/>
        </w:rPr>
      </w:pPr>
      <w:r w:rsidRPr="00BE4F11">
        <w:rPr>
          <w:rFonts w:ascii="Gilroy Medium" w:hAnsi="Gilroy Medium"/>
        </w:rPr>
        <w:t xml:space="preserve">El valor relativo </w:t>
      </w:r>
      <w:r w:rsidRPr="00BE4F11">
        <w:rPr>
          <w:rFonts w:ascii="Gilroy Medium" w:hAnsi="Gilroy Medium"/>
          <w:b/>
        </w:rPr>
        <w:t>(p)</w:t>
      </w:r>
      <w:r w:rsidRPr="00BE4F11">
        <w:rPr>
          <w:rFonts w:ascii="Gilroy Medium" w:hAnsi="Gilroy Medium"/>
        </w:rPr>
        <w:t xml:space="preserve"> se obtiene dividiendo un valor observado </w:t>
      </w:r>
      <w:r w:rsidRPr="00BE4F11">
        <w:rPr>
          <w:rFonts w:ascii="Gilroy Medium" w:hAnsi="Gilroy Medium"/>
          <w:b/>
        </w:rPr>
        <w:t>(M)</w:t>
      </w:r>
      <w:r w:rsidRPr="00BE4F11">
        <w:rPr>
          <w:rFonts w:ascii="Gilroy Medium" w:hAnsi="Gilroy Medium"/>
        </w:rPr>
        <w:t xml:space="preserve"> por el total de la población observada </w:t>
      </w:r>
      <w:r w:rsidRPr="00BE4F11">
        <w:rPr>
          <w:rFonts w:ascii="Gilroy Medium" w:hAnsi="Gilroy Medium"/>
          <w:b/>
        </w:rPr>
        <w:t>(T)</w:t>
      </w:r>
      <w:r w:rsidRPr="00BE4F11">
        <w:rPr>
          <w:rFonts w:ascii="Gilroy Medium" w:hAnsi="Gilroy Medium"/>
        </w:rPr>
        <w:t xml:space="preserve">. Si a ese resultado se lo multiplica por 100, se obtiene el valor porcentual o porcentaje. </w:t>
      </w:r>
    </w:p>
    <w:p w14:paraId="7AC49A7F" w14:textId="77777777" w:rsidR="00BE4F11" w:rsidRPr="00BE4F11" w:rsidRDefault="00BE4F11" w:rsidP="00BE4F11">
      <w:pPr>
        <w:spacing w:afterLines="60" w:after="144" w:line="25" w:lineRule="atLeast"/>
        <w:jc w:val="center"/>
        <w:rPr>
          <w:rFonts w:ascii="Gilroy Medium" w:hAnsi="Gilroy Medium"/>
          <w:b/>
        </w:rPr>
      </w:pPr>
      <m:oMathPara>
        <m:oMath>
          <m:r>
            <m:rPr>
              <m:sty m:val="bi"/>
            </m:rPr>
            <w:rPr>
              <w:rFonts w:ascii="Cambria Math" w:hAnsi="Cambria Math"/>
            </w:rPr>
            <m:t>p</m:t>
          </m:r>
          <m:d>
            <m:dPr>
              <m:ctrlPr>
                <w:rPr>
                  <w:rFonts w:ascii="Cambria Math" w:hAnsi="Cambria Math"/>
                  <w:b/>
                  <w:i/>
                </w:rPr>
              </m:ctrlPr>
            </m:dPr>
            <m:e>
              <m:r>
                <m:rPr>
                  <m:sty m:val="bi"/>
                </m:rPr>
                <w:rPr>
                  <w:rFonts w:ascii="Cambria Math" w:hAnsi="Cambria Math"/>
                </w:rPr>
                <m:t>%</m:t>
              </m:r>
            </m:e>
          </m:d>
          <m:r>
            <m:rPr>
              <m:sty m:val="bi"/>
            </m:rPr>
            <w:rPr>
              <w:rFonts w:ascii="Cambria Math" w:hAnsi="Cambria Math"/>
            </w:rPr>
            <m:t xml:space="preserve">= </m:t>
          </m:r>
          <m:d>
            <m:dPr>
              <m:ctrlPr>
                <w:rPr>
                  <w:rFonts w:ascii="Cambria Math" w:hAnsi="Cambria Math"/>
                  <w:b/>
                  <w:i/>
                </w:rPr>
              </m:ctrlPr>
            </m:dPr>
            <m:e>
              <m:f>
                <m:fPr>
                  <m:ctrlPr>
                    <w:rPr>
                      <w:rFonts w:ascii="Cambria Math" w:hAnsi="Cambria Math"/>
                      <w:b/>
                      <w:i/>
                    </w:rPr>
                  </m:ctrlPr>
                </m:fPr>
                <m:num>
                  <m:r>
                    <m:rPr>
                      <m:sty m:val="bi"/>
                    </m:rPr>
                    <w:rPr>
                      <w:rFonts w:ascii="Cambria Math" w:hAnsi="Cambria Math"/>
                    </w:rPr>
                    <m:t>M</m:t>
                  </m:r>
                </m:num>
                <m:den>
                  <m:r>
                    <m:rPr>
                      <m:sty m:val="bi"/>
                    </m:rPr>
                    <w:rPr>
                      <w:rFonts w:ascii="Cambria Math" w:hAnsi="Cambria Math"/>
                    </w:rPr>
                    <m:t>T</m:t>
                  </m:r>
                </m:den>
              </m:f>
            </m:e>
          </m:d>
          <m:r>
            <m:rPr>
              <m:sty m:val="bi"/>
            </m:rPr>
            <w:rPr>
              <w:rFonts w:ascii="Cambria Math" w:hAnsi="Cambria Math"/>
            </w:rPr>
            <m:t>.100</m:t>
          </m:r>
        </m:oMath>
      </m:oMathPara>
    </w:p>
    <w:p w14:paraId="636803B4" w14:textId="77777777" w:rsidR="00BE4F11" w:rsidRPr="00BE4F11" w:rsidRDefault="00BE4F11" w:rsidP="00BE4F11">
      <w:pPr>
        <w:spacing w:afterLines="60" w:after="144" w:line="25" w:lineRule="atLeast"/>
        <w:jc w:val="both"/>
        <w:rPr>
          <w:rFonts w:ascii="Gilroy Medium" w:hAnsi="Gilroy Medium"/>
        </w:rPr>
      </w:pPr>
      <w:r w:rsidRPr="00BE4F11">
        <w:rPr>
          <w:rFonts w:ascii="Gilroy Medium" w:hAnsi="Gilroy Medium"/>
        </w:rPr>
        <w:t>En nuestro ejemplo, el valor relativo resulta de dividir la población de Puerto Rico por el total de la población de Misiones (1.273.347habitantes) y luego multiplicar ese resultado por 100.</w:t>
      </w:r>
    </w:p>
    <w:p w14:paraId="28630AE6" w14:textId="77777777" w:rsidR="00BE4F11" w:rsidRPr="00BE4F11" w:rsidRDefault="00BE4F11" w:rsidP="00BE4F11">
      <w:pPr>
        <w:spacing w:afterLines="60" w:after="144" w:line="25" w:lineRule="atLeast"/>
        <w:jc w:val="both"/>
        <w:rPr>
          <w:rFonts w:ascii="Gilroy Medium" w:hAnsi="Gilroy Medium"/>
        </w:rPr>
      </w:pPr>
      <m:oMathPara>
        <m:oMath>
          <m:r>
            <w:rPr>
              <w:rFonts w:ascii="Cambria Math" w:hAnsi="Cambria Math"/>
            </w:rPr>
            <m:t>valor relativo</m:t>
          </m:r>
          <m:d>
            <m:dPr>
              <m:ctrlPr>
                <w:rPr>
                  <w:rFonts w:ascii="Cambria Math" w:hAnsi="Cambria Math"/>
                  <w:i/>
                </w:rPr>
              </m:ctrlPr>
            </m:dPr>
            <m:e>
              <m:r>
                <w:rPr>
                  <w:rFonts w:ascii="Cambria Math" w:hAnsi="Cambria Math"/>
                </w:rPr>
                <m:t>p</m:t>
              </m:r>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23.279</m:t>
                  </m:r>
                </m:num>
                <m:den>
                  <m:r>
                    <w:rPr>
                      <w:rFonts w:ascii="Cambria Math" w:hAnsi="Cambria Math"/>
                    </w:rPr>
                    <m:t>1.273.347</m:t>
                  </m:r>
                </m:den>
              </m:f>
            </m:e>
          </m:d>
          <m:r>
            <w:rPr>
              <w:rFonts w:ascii="Cambria Math" w:hAnsi="Cambria Math"/>
            </w:rPr>
            <m:t>*100=0.0182*100=1.82%</m:t>
          </m:r>
        </m:oMath>
      </m:oMathPara>
    </w:p>
    <w:p w14:paraId="7AA5F2B7" w14:textId="77777777" w:rsidR="00BE4F11" w:rsidRPr="00BE4F11" w:rsidRDefault="00BE4F11" w:rsidP="00BE4F11">
      <w:pPr>
        <w:spacing w:afterLines="60" w:after="144" w:line="25" w:lineRule="atLeast"/>
        <w:jc w:val="both"/>
        <w:rPr>
          <w:rFonts w:ascii="Gilroy Medium" w:hAnsi="Gilroy Medium"/>
        </w:rPr>
      </w:pPr>
    </w:p>
    <w:p w14:paraId="4B5D5C87" w14:textId="77777777" w:rsidR="00BE4F11" w:rsidRPr="00BE4F11" w:rsidRDefault="00BE4F11" w:rsidP="00BE4F11">
      <w:pPr>
        <w:spacing w:afterLines="60" w:after="144" w:line="25" w:lineRule="atLeast"/>
        <w:jc w:val="both"/>
        <w:rPr>
          <w:rFonts w:ascii="Gilroy Medium" w:hAnsi="Gilroy Medium"/>
        </w:rPr>
      </w:pPr>
      <w:r w:rsidRPr="00BE4F11">
        <w:rPr>
          <w:rFonts w:ascii="Gilroy Medium" w:hAnsi="Gilroy Medium"/>
        </w:rPr>
        <w:t>Esto quiere decir que la población del municipio Puerto Rico representa el 1,82% de la población total de la provincia de Misiones.</w:t>
      </w:r>
    </w:p>
    <w:bookmarkEnd w:id="0"/>
    <w:p w14:paraId="4FDA865C" w14:textId="73EE15C0" w:rsidR="001E4648" w:rsidRDefault="001E4648" w:rsidP="001E4648">
      <w:pPr>
        <w:spacing w:afterLines="60" w:after="144" w:line="25" w:lineRule="atLeast"/>
        <w:jc w:val="both"/>
        <w:rPr>
          <w:rFonts w:ascii="Gilroy Medium" w:hAnsi="Gilroy Medium"/>
        </w:rPr>
      </w:pPr>
    </w:p>
    <w:p w14:paraId="37580740" w14:textId="5C3507A7" w:rsidR="00594CD6" w:rsidRPr="00594CD6" w:rsidRDefault="00594CD6" w:rsidP="00594CD6">
      <w:pPr>
        <w:spacing w:afterLines="60" w:after="144" w:line="25" w:lineRule="atLeast"/>
        <w:jc w:val="both"/>
        <w:rPr>
          <w:rFonts w:ascii="Gilroy Medium" w:hAnsi="Gilroy Medium"/>
          <w:b/>
          <w:bCs/>
          <w:color w:val="0E2841" w:themeColor="text2"/>
          <w:sz w:val="24"/>
          <w:szCs w:val="24"/>
        </w:rPr>
      </w:pPr>
      <w:r w:rsidRPr="00594CD6">
        <w:rPr>
          <w:rFonts w:ascii="Gilroy Medium" w:hAnsi="Gilroy Medium"/>
          <w:b/>
          <w:bCs/>
          <w:color w:val="0E2841" w:themeColor="text2"/>
          <w:sz w:val="24"/>
          <w:szCs w:val="24"/>
        </w:rPr>
        <w:t>Actividad</w:t>
      </w:r>
    </w:p>
    <w:p w14:paraId="15B91B3C" w14:textId="16F0D829" w:rsidR="00B764C4" w:rsidRDefault="00BE4F11" w:rsidP="00B764C4">
      <w:pPr>
        <w:spacing w:afterLines="60" w:after="144" w:line="25" w:lineRule="atLeast"/>
        <w:jc w:val="both"/>
        <w:rPr>
          <w:rFonts w:ascii="Gilroy Medium" w:hAnsi="Gilroy Medium"/>
        </w:rPr>
      </w:pPr>
      <w:r>
        <w:rPr>
          <w:rFonts w:ascii="Gilroy Medium" w:hAnsi="Gilroy Medium"/>
        </w:rPr>
        <w:t xml:space="preserve">Vas a trabajar con el cuadro </w:t>
      </w:r>
      <w:r>
        <w:rPr>
          <w:rFonts w:ascii="Gilroy Medium" w:hAnsi="Gilroy Medium"/>
        </w:rPr>
        <w:t>“</w:t>
      </w:r>
      <w:r w:rsidRPr="000A42D2">
        <w:rPr>
          <w:rFonts w:ascii="Gilroy Medium" w:hAnsi="Gilroy Medium"/>
        </w:rPr>
        <w:t>Provincia de Misiones. Viviendas particulares y población en viviendas particulares, según municipio. Año 2022</w:t>
      </w:r>
      <w:r>
        <w:rPr>
          <w:rFonts w:ascii="Gilroy Medium" w:hAnsi="Gilroy Medium"/>
        </w:rPr>
        <w:t>”</w:t>
      </w:r>
      <w:r>
        <w:rPr>
          <w:rFonts w:ascii="Gilroy Medium" w:hAnsi="Gilroy Medium"/>
        </w:rPr>
        <w:t>, que podés encontrar en el sitio web del IPEC (</w:t>
      </w:r>
      <w:hyperlink r:id="rId7" w:history="1">
        <w:r w:rsidRPr="003B40ED">
          <w:rPr>
            <w:rStyle w:val="Hipervnculo"/>
            <w:rFonts w:ascii="Gilroy Medium" w:hAnsi="Gilroy Medium"/>
          </w:rPr>
          <w:t>IPEC-Misiones-Poblacion-y-Viviendas-por-municipio-CNPHyV-2022.xlsx</w:t>
        </w:r>
      </w:hyperlink>
      <w:r>
        <w:t>)</w:t>
      </w:r>
    </w:p>
    <w:p w14:paraId="6F22491A" w14:textId="3917CAE8" w:rsidR="00BE4F11" w:rsidRPr="00BE4F11" w:rsidRDefault="00BE4F11" w:rsidP="00BE4F11">
      <w:pPr>
        <w:pStyle w:val="Prrafodelista"/>
        <w:numPr>
          <w:ilvl w:val="0"/>
          <w:numId w:val="17"/>
        </w:numPr>
        <w:spacing w:afterLines="60" w:after="144" w:line="25" w:lineRule="atLeast"/>
        <w:ind w:left="284" w:hanging="284"/>
        <w:jc w:val="both"/>
        <w:rPr>
          <w:rFonts w:ascii="Gilroy Medium" w:hAnsi="Gilroy Medium"/>
        </w:rPr>
      </w:pPr>
      <w:r w:rsidRPr="00BE4F11">
        <w:rPr>
          <w:rFonts w:ascii="Gilroy Medium" w:hAnsi="Gilroy Medium"/>
        </w:rPr>
        <w:t>E</w:t>
      </w:r>
      <w:r w:rsidRPr="00BE4F11">
        <w:rPr>
          <w:rFonts w:ascii="Gilroy Medium" w:hAnsi="Gilroy Medium"/>
        </w:rPr>
        <w:t>legí tres municipios y anotá</w:t>
      </w:r>
      <w:r w:rsidRPr="00BE4F11">
        <w:rPr>
          <w:rFonts w:ascii="Gilroy Medium" w:hAnsi="Gilroy Medium"/>
        </w:rPr>
        <w:t xml:space="preserve"> el valor absoluto de la población </w:t>
      </w:r>
      <w:r w:rsidRPr="00BE4F11">
        <w:rPr>
          <w:rFonts w:ascii="Gilroy Medium" w:hAnsi="Gilroy Medium"/>
        </w:rPr>
        <w:t>y de las viviendas de cada uno</w:t>
      </w:r>
      <w:r w:rsidRPr="00BE4F11">
        <w:rPr>
          <w:rFonts w:ascii="Gilroy Medium" w:hAnsi="Gilroy Medium"/>
        </w:rPr>
        <w:t>.</w:t>
      </w:r>
    </w:p>
    <w:p w14:paraId="115B517A" w14:textId="2FB4D002" w:rsidR="00BE4F11" w:rsidRPr="00BE4F11" w:rsidRDefault="00BE4F11" w:rsidP="00BE4F11">
      <w:pPr>
        <w:pStyle w:val="Prrafodelista"/>
        <w:numPr>
          <w:ilvl w:val="0"/>
          <w:numId w:val="17"/>
        </w:numPr>
        <w:spacing w:afterLines="60" w:after="144" w:line="25" w:lineRule="atLeast"/>
        <w:ind w:left="284" w:hanging="284"/>
        <w:jc w:val="both"/>
        <w:rPr>
          <w:rFonts w:ascii="Gilroy Medium" w:hAnsi="Gilroy Medium"/>
        </w:rPr>
      </w:pPr>
      <w:r w:rsidRPr="00BE4F11">
        <w:rPr>
          <w:rFonts w:ascii="Gilroy Medium" w:hAnsi="Gilroy Medium"/>
        </w:rPr>
        <w:t xml:space="preserve">Calculá el valor relativo de cada </w:t>
      </w:r>
      <w:r>
        <w:rPr>
          <w:rFonts w:ascii="Gilroy Medium" w:hAnsi="Gilroy Medium"/>
        </w:rPr>
        <w:t>valor</w:t>
      </w:r>
      <w:r w:rsidRPr="00BE4F11">
        <w:rPr>
          <w:rFonts w:ascii="Gilroy Medium" w:hAnsi="Gilroy Medium"/>
        </w:rPr>
        <w:t xml:space="preserve"> respecto a la población provincial.</w:t>
      </w:r>
    </w:p>
    <w:p w14:paraId="07C9BBD2" w14:textId="42B3E599" w:rsidR="00BE4F11" w:rsidRPr="00BE4F11" w:rsidRDefault="00BE4F11" w:rsidP="00BE4F11">
      <w:pPr>
        <w:pStyle w:val="Prrafodelista"/>
        <w:numPr>
          <w:ilvl w:val="0"/>
          <w:numId w:val="17"/>
        </w:numPr>
        <w:spacing w:afterLines="60" w:after="144" w:line="25" w:lineRule="atLeast"/>
        <w:ind w:left="284" w:hanging="284"/>
        <w:jc w:val="both"/>
        <w:rPr>
          <w:rFonts w:ascii="Gilroy Medium" w:hAnsi="Gilroy Medium"/>
        </w:rPr>
      </w:pPr>
      <w:r w:rsidRPr="00BE4F11">
        <w:rPr>
          <w:rFonts w:ascii="Gilroy Medium" w:hAnsi="Gilroy Medium"/>
        </w:rPr>
        <w:t>Ordená los municipios de mayor a menor según su peso relativo dentro de la provincia</w:t>
      </w:r>
      <w:r>
        <w:rPr>
          <w:rFonts w:ascii="Gilroy Medium" w:hAnsi="Gilroy Medium"/>
        </w:rPr>
        <w:t xml:space="preserve"> en cuanto a población y en cuanto a viviendas</w:t>
      </w:r>
      <w:r w:rsidRPr="00BE4F11">
        <w:rPr>
          <w:rFonts w:ascii="Gilroy Medium" w:hAnsi="Gilroy Medium"/>
        </w:rPr>
        <w:t>.</w:t>
      </w:r>
      <w:r>
        <w:rPr>
          <w:rFonts w:ascii="Gilroy Medium" w:hAnsi="Gilroy Medium"/>
        </w:rPr>
        <w:t xml:space="preserve"> ¿Es el mismo orden en ambos casos? ¿Creés que podría ser distinto?</w:t>
      </w:r>
    </w:p>
    <w:sectPr w:rsidR="00BE4F11" w:rsidRPr="00BE4F11" w:rsidSect="00644485">
      <w:headerReference w:type="even" r:id="rId8"/>
      <w:headerReference w:type="default" r:id="rId9"/>
      <w:footerReference w:type="default" r:id="rId10"/>
      <w:headerReference w:type="first" r:id="rId11"/>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E766A" w14:textId="77777777" w:rsidR="00E457F4" w:rsidRDefault="00E457F4" w:rsidP="00644485">
      <w:pPr>
        <w:spacing w:after="0" w:line="240" w:lineRule="auto"/>
      </w:pPr>
      <w:r>
        <w:separator/>
      </w:r>
    </w:p>
  </w:endnote>
  <w:endnote w:type="continuationSeparator" w:id="0">
    <w:p w14:paraId="5DB72044" w14:textId="77777777" w:rsidR="00E457F4" w:rsidRDefault="00E457F4" w:rsidP="00644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Gilroy Medium">
    <w:panose1 w:val="00000600000000000000"/>
    <w:charset w:val="00"/>
    <w:family w:val="auto"/>
    <w:pitch w:val="variable"/>
    <w:sig w:usb0="00000207" w:usb1="00000000" w:usb2="00000000" w:usb3="00000000" w:csb0="000000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31EA7" w14:textId="31538281" w:rsidR="00644485" w:rsidRDefault="00BD3D5C">
    <w:pPr>
      <w:pStyle w:val="Piedepgina"/>
    </w:pPr>
    <w:r>
      <w:rPr>
        <w:noProof/>
        <w14:ligatures w14:val="standardContextual"/>
      </w:rPr>
      <w:drawing>
        <wp:anchor distT="0" distB="0" distL="114300" distR="114300" simplePos="0" relativeHeight="251657216" behindDoc="0" locked="0" layoutInCell="1" allowOverlap="1" wp14:anchorId="6BC26C4C" wp14:editId="077E2AB8">
          <wp:simplePos x="0" y="0"/>
          <wp:positionH relativeFrom="margin">
            <wp:align>center</wp:align>
          </wp:positionH>
          <wp:positionV relativeFrom="paragraph">
            <wp:posOffset>-280670</wp:posOffset>
          </wp:positionV>
          <wp:extent cx="3407410" cy="883920"/>
          <wp:effectExtent l="0" t="0" r="2540" b="0"/>
          <wp:wrapSquare wrapText="bothSides"/>
          <wp:docPr id="187601198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11986" name="Imagen 1876011986"/>
                  <pic:cNvPicPr/>
                </pic:nvPicPr>
                <pic:blipFill>
                  <a:blip r:embed="rId1">
                    <a:extLst>
                      <a:ext uri="{28A0092B-C50C-407E-A947-70E740481C1C}">
                        <a14:useLocalDpi xmlns:a14="http://schemas.microsoft.com/office/drawing/2010/main" val="0"/>
                      </a:ext>
                    </a:extLst>
                  </a:blip>
                  <a:stretch>
                    <a:fillRect/>
                  </a:stretch>
                </pic:blipFill>
                <pic:spPr>
                  <a:xfrm>
                    <a:off x="0" y="0"/>
                    <a:ext cx="3407410" cy="8839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3BDD09" w14:textId="77777777" w:rsidR="00E457F4" w:rsidRDefault="00E457F4" w:rsidP="00644485">
      <w:pPr>
        <w:spacing w:after="0" w:line="240" w:lineRule="auto"/>
      </w:pPr>
      <w:r>
        <w:separator/>
      </w:r>
    </w:p>
  </w:footnote>
  <w:footnote w:type="continuationSeparator" w:id="0">
    <w:p w14:paraId="78BE46CA" w14:textId="77777777" w:rsidR="00E457F4" w:rsidRDefault="00E457F4" w:rsidP="006444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9A7EC" w14:textId="77777777" w:rsidR="00644485" w:rsidRDefault="00000000">
    <w:pPr>
      <w:pStyle w:val="Encabezado"/>
    </w:pPr>
    <w:r>
      <w:rPr>
        <w:noProof/>
        <w:lang w:eastAsia="es-AR"/>
      </w:rPr>
      <w:pict w14:anchorId="68061E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034157" o:spid="_x0000_s1025" type="#_x0000_t75" style="position:absolute;margin-left:0;margin-top:0;width:892.8pt;height:1262.85pt;z-index:-251658240;mso-position-horizontal:center;mso-position-horizontal-relative:margin;mso-position-vertical:center;mso-position-vertical-relative:margin" o:allowincell="f">
          <v:imagedata r:id="rId1" o:title="hoja marca de agu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917F6" w14:textId="75E707E1" w:rsidR="00644485" w:rsidRDefault="001E4648">
    <w:pPr>
      <w:pStyle w:val="Encabezado"/>
    </w:pPr>
    <w:r>
      <w:rPr>
        <w:noProof/>
        <w14:ligatures w14:val="standardContextual"/>
      </w:rPr>
      <w:drawing>
        <wp:anchor distT="0" distB="0" distL="114300" distR="114300" simplePos="0" relativeHeight="251660288" behindDoc="0" locked="0" layoutInCell="1" allowOverlap="1" wp14:anchorId="3B263993" wp14:editId="1304BF73">
          <wp:simplePos x="0" y="0"/>
          <wp:positionH relativeFrom="page">
            <wp:align>left</wp:align>
          </wp:positionH>
          <wp:positionV relativeFrom="paragraph">
            <wp:posOffset>-449580</wp:posOffset>
          </wp:positionV>
          <wp:extent cx="7560000" cy="1080365"/>
          <wp:effectExtent l="0" t="0" r="3175" b="5715"/>
          <wp:wrapSquare wrapText="bothSides"/>
          <wp:docPr id="1969076936" name="Imagen 1" descr="Imagen que contiene corte, raqueta, jugador, balancea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076936" name="Imagen 1" descr="Imagen que contiene corte, raqueta, jugador, balanceand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36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E1801" w14:textId="77777777" w:rsidR="00644485" w:rsidRDefault="00000000">
    <w:pPr>
      <w:pStyle w:val="Encabezado"/>
    </w:pPr>
    <w:r>
      <w:rPr>
        <w:noProof/>
        <w:lang w:eastAsia="es-AR"/>
      </w:rPr>
      <w:pict w14:anchorId="6029B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034156" o:spid="_x0000_s1030" type="#_x0000_t75" style="position:absolute;margin-left:0;margin-top:0;width:892.8pt;height:1262.85pt;z-index:-251657216;mso-position-horizontal:center;mso-position-horizontal-relative:margin;mso-position-vertical:center;mso-position-vertical-relative:margin" o:allowincell="f">
          <v:imagedata r:id="rId1" o:title="hoja marca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65058"/>
    <w:multiLevelType w:val="hybridMultilevel"/>
    <w:tmpl w:val="F434204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2EC3C72"/>
    <w:multiLevelType w:val="hybridMultilevel"/>
    <w:tmpl w:val="2FE6F96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04C1170C"/>
    <w:multiLevelType w:val="hybridMultilevel"/>
    <w:tmpl w:val="9958644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06411837"/>
    <w:multiLevelType w:val="hybridMultilevel"/>
    <w:tmpl w:val="E84C37A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0AA1700E"/>
    <w:multiLevelType w:val="hybridMultilevel"/>
    <w:tmpl w:val="2BC6C696"/>
    <w:lvl w:ilvl="0" w:tplc="890ADD4C">
      <w:start w:val="1"/>
      <w:numFmt w:val="bullet"/>
      <w:lvlText w:val="•"/>
      <w:lvlJc w:val="left"/>
      <w:pPr>
        <w:ind w:left="720" w:hanging="360"/>
      </w:pPr>
      <w:rPr>
        <w:rFonts w:ascii="Arial" w:hAnsi="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10C315B"/>
    <w:multiLevelType w:val="hybridMultilevel"/>
    <w:tmpl w:val="33F82F8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9127013"/>
    <w:multiLevelType w:val="multilevel"/>
    <w:tmpl w:val="BE4CF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4A54BF"/>
    <w:multiLevelType w:val="hybridMultilevel"/>
    <w:tmpl w:val="EF74D8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344C026C"/>
    <w:multiLevelType w:val="multilevel"/>
    <w:tmpl w:val="27509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30532C"/>
    <w:multiLevelType w:val="hybridMultilevel"/>
    <w:tmpl w:val="14C4F88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3F236C13"/>
    <w:multiLevelType w:val="hybridMultilevel"/>
    <w:tmpl w:val="D7240E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4E585B75"/>
    <w:multiLevelType w:val="hybridMultilevel"/>
    <w:tmpl w:val="E7066B0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5B562EB6"/>
    <w:multiLevelType w:val="hybridMultilevel"/>
    <w:tmpl w:val="609A7DD4"/>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5E645D95"/>
    <w:multiLevelType w:val="hybridMultilevel"/>
    <w:tmpl w:val="2BC0BB5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668951B8"/>
    <w:multiLevelType w:val="hybridMultilevel"/>
    <w:tmpl w:val="8F44B87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699C44C0"/>
    <w:multiLevelType w:val="hybridMultilevel"/>
    <w:tmpl w:val="88C4532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6D2153C9"/>
    <w:multiLevelType w:val="hybridMultilevel"/>
    <w:tmpl w:val="F23EF974"/>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793984512">
    <w:abstractNumId w:val="2"/>
  </w:num>
  <w:num w:numId="2" w16cid:durableId="1374618009">
    <w:abstractNumId w:val="9"/>
  </w:num>
  <w:num w:numId="3" w16cid:durableId="629290389">
    <w:abstractNumId w:val="14"/>
  </w:num>
  <w:num w:numId="4" w16cid:durableId="397441855">
    <w:abstractNumId w:val="3"/>
  </w:num>
  <w:num w:numId="5" w16cid:durableId="1028262515">
    <w:abstractNumId w:val="13"/>
  </w:num>
  <w:num w:numId="6" w16cid:durableId="2024432636">
    <w:abstractNumId w:val="5"/>
  </w:num>
  <w:num w:numId="7" w16cid:durableId="390688945">
    <w:abstractNumId w:val="0"/>
  </w:num>
  <w:num w:numId="8" w16cid:durableId="2050837259">
    <w:abstractNumId w:val="7"/>
  </w:num>
  <w:num w:numId="9" w16cid:durableId="1523936131">
    <w:abstractNumId w:val="12"/>
  </w:num>
  <w:num w:numId="10" w16cid:durableId="519468964">
    <w:abstractNumId w:val="8"/>
  </w:num>
  <w:num w:numId="11" w16cid:durableId="55983069">
    <w:abstractNumId w:val="6"/>
  </w:num>
  <w:num w:numId="12" w16cid:durableId="919556115">
    <w:abstractNumId w:val="10"/>
  </w:num>
  <w:num w:numId="13" w16cid:durableId="1361784560">
    <w:abstractNumId w:val="15"/>
  </w:num>
  <w:num w:numId="14" w16cid:durableId="1165587879">
    <w:abstractNumId w:val="11"/>
  </w:num>
  <w:num w:numId="15" w16cid:durableId="1189373061">
    <w:abstractNumId w:val="4"/>
  </w:num>
  <w:num w:numId="16" w16cid:durableId="1316569548">
    <w:abstractNumId w:val="16"/>
  </w:num>
  <w:num w:numId="17" w16cid:durableId="8697591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485"/>
    <w:rsid w:val="00090406"/>
    <w:rsid w:val="0016793B"/>
    <w:rsid w:val="001E4648"/>
    <w:rsid w:val="0026549E"/>
    <w:rsid w:val="002A23C5"/>
    <w:rsid w:val="002E0DC4"/>
    <w:rsid w:val="004239EF"/>
    <w:rsid w:val="00435238"/>
    <w:rsid w:val="004B5504"/>
    <w:rsid w:val="00501997"/>
    <w:rsid w:val="005431F9"/>
    <w:rsid w:val="005478FD"/>
    <w:rsid w:val="00594CD6"/>
    <w:rsid w:val="00604EFE"/>
    <w:rsid w:val="00644485"/>
    <w:rsid w:val="0069027F"/>
    <w:rsid w:val="0069310B"/>
    <w:rsid w:val="00693A7E"/>
    <w:rsid w:val="007876D1"/>
    <w:rsid w:val="00920639"/>
    <w:rsid w:val="00990C7F"/>
    <w:rsid w:val="00996809"/>
    <w:rsid w:val="009D4CB8"/>
    <w:rsid w:val="00A44598"/>
    <w:rsid w:val="00A74BE6"/>
    <w:rsid w:val="00AD17C7"/>
    <w:rsid w:val="00B43542"/>
    <w:rsid w:val="00B764C4"/>
    <w:rsid w:val="00BD3D5C"/>
    <w:rsid w:val="00BE4F11"/>
    <w:rsid w:val="00C0709B"/>
    <w:rsid w:val="00D15563"/>
    <w:rsid w:val="00DB7D41"/>
    <w:rsid w:val="00E0185D"/>
    <w:rsid w:val="00E405DB"/>
    <w:rsid w:val="00E457F4"/>
    <w:rsid w:val="00E972D0"/>
    <w:rsid w:val="00EE4CA9"/>
    <w:rsid w:val="00FD1C74"/>
    <w:rsid w:val="00FE0D03"/>
    <w:rsid w:val="00FE2D2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F8661F"/>
  <w15:chartTrackingRefBased/>
  <w15:docId w15:val="{185C40A2-769D-43F9-836B-3B2EF54B0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A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485"/>
    <w:pPr>
      <w:spacing w:after="200" w:line="276" w:lineRule="auto"/>
    </w:pPr>
    <w:rPr>
      <w:rFonts w:ascii="Calibri" w:eastAsia="Calibri" w:hAnsi="Calibri" w:cs="Times New Roman"/>
      <w:kern w:val="0"/>
      <w:sz w:val="22"/>
      <w:szCs w:val="22"/>
      <w14:ligatures w14:val="none"/>
    </w:rPr>
  </w:style>
  <w:style w:type="paragraph" w:styleId="Ttulo1">
    <w:name w:val="heading 1"/>
    <w:basedOn w:val="Normal"/>
    <w:next w:val="Normal"/>
    <w:link w:val="Ttulo1Car"/>
    <w:uiPriority w:val="9"/>
    <w:qFormat/>
    <w:rsid w:val="006444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6444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64448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4448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4448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4448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4448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4448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4448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4448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64448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64448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4448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4448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4448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4448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4448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44485"/>
    <w:rPr>
      <w:rFonts w:eastAsiaTheme="majorEastAsia" w:cstheme="majorBidi"/>
      <w:color w:val="272727" w:themeColor="text1" w:themeTint="D8"/>
    </w:rPr>
  </w:style>
  <w:style w:type="paragraph" w:styleId="Ttulo">
    <w:name w:val="Title"/>
    <w:basedOn w:val="Normal"/>
    <w:next w:val="Normal"/>
    <w:link w:val="TtuloCar"/>
    <w:uiPriority w:val="10"/>
    <w:qFormat/>
    <w:rsid w:val="006444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4448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4448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4448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44485"/>
    <w:pPr>
      <w:spacing w:before="160"/>
      <w:jc w:val="center"/>
    </w:pPr>
    <w:rPr>
      <w:i/>
      <w:iCs/>
      <w:color w:val="404040" w:themeColor="text1" w:themeTint="BF"/>
    </w:rPr>
  </w:style>
  <w:style w:type="character" w:customStyle="1" w:styleId="CitaCar">
    <w:name w:val="Cita Car"/>
    <w:basedOn w:val="Fuentedeprrafopredeter"/>
    <w:link w:val="Cita"/>
    <w:uiPriority w:val="29"/>
    <w:rsid w:val="00644485"/>
    <w:rPr>
      <w:i/>
      <w:iCs/>
      <w:color w:val="404040" w:themeColor="text1" w:themeTint="BF"/>
    </w:rPr>
  </w:style>
  <w:style w:type="paragraph" w:styleId="Prrafodelista">
    <w:name w:val="List Paragraph"/>
    <w:basedOn w:val="Normal"/>
    <w:uiPriority w:val="34"/>
    <w:qFormat/>
    <w:rsid w:val="00644485"/>
    <w:pPr>
      <w:ind w:left="720"/>
      <w:contextualSpacing/>
    </w:pPr>
  </w:style>
  <w:style w:type="character" w:styleId="nfasisintenso">
    <w:name w:val="Intense Emphasis"/>
    <w:basedOn w:val="Fuentedeprrafopredeter"/>
    <w:uiPriority w:val="21"/>
    <w:qFormat/>
    <w:rsid w:val="00644485"/>
    <w:rPr>
      <w:i/>
      <w:iCs/>
      <w:color w:val="0F4761" w:themeColor="accent1" w:themeShade="BF"/>
    </w:rPr>
  </w:style>
  <w:style w:type="paragraph" w:styleId="Citadestacada">
    <w:name w:val="Intense Quote"/>
    <w:basedOn w:val="Normal"/>
    <w:next w:val="Normal"/>
    <w:link w:val="CitadestacadaCar"/>
    <w:uiPriority w:val="30"/>
    <w:qFormat/>
    <w:rsid w:val="006444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44485"/>
    <w:rPr>
      <w:i/>
      <w:iCs/>
      <w:color w:val="0F4761" w:themeColor="accent1" w:themeShade="BF"/>
    </w:rPr>
  </w:style>
  <w:style w:type="character" w:styleId="Referenciaintensa">
    <w:name w:val="Intense Reference"/>
    <w:basedOn w:val="Fuentedeprrafopredeter"/>
    <w:uiPriority w:val="32"/>
    <w:qFormat/>
    <w:rsid w:val="00644485"/>
    <w:rPr>
      <w:b/>
      <w:bCs/>
      <w:smallCaps/>
      <w:color w:val="0F4761" w:themeColor="accent1" w:themeShade="BF"/>
      <w:spacing w:val="5"/>
    </w:rPr>
  </w:style>
  <w:style w:type="paragraph" w:styleId="Encabezado">
    <w:name w:val="header"/>
    <w:basedOn w:val="Normal"/>
    <w:link w:val="EncabezadoCar"/>
    <w:uiPriority w:val="99"/>
    <w:unhideWhenUsed/>
    <w:rsid w:val="006444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4485"/>
    <w:rPr>
      <w:rFonts w:ascii="Calibri" w:eastAsia="Calibri" w:hAnsi="Calibri" w:cs="Times New Roman"/>
      <w:kern w:val="0"/>
      <w:sz w:val="22"/>
      <w:szCs w:val="22"/>
      <w14:ligatures w14:val="none"/>
    </w:rPr>
  </w:style>
  <w:style w:type="paragraph" w:styleId="Piedepgina">
    <w:name w:val="footer"/>
    <w:basedOn w:val="Normal"/>
    <w:link w:val="PiedepginaCar"/>
    <w:uiPriority w:val="99"/>
    <w:unhideWhenUsed/>
    <w:rsid w:val="006444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4485"/>
    <w:rPr>
      <w:rFonts w:ascii="Calibri" w:eastAsia="Calibri" w:hAnsi="Calibri" w:cs="Times New Roman"/>
      <w:kern w:val="0"/>
      <w:sz w:val="22"/>
      <w:szCs w:val="22"/>
      <w14:ligatures w14:val="none"/>
    </w:rPr>
  </w:style>
  <w:style w:type="character" w:styleId="Hipervnculo">
    <w:name w:val="Hyperlink"/>
    <w:basedOn w:val="Fuentedeprrafopredeter"/>
    <w:uiPriority w:val="99"/>
    <w:unhideWhenUsed/>
    <w:rsid w:val="005478FD"/>
    <w:rPr>
      <w:color w:val="467886" w:themeColor="hyperlink"/>
      <w:u w:val="single"/>
    </w:rPr>
  </w:style>
  <w:style w:type="character" w:styleId="Mencinsinresolver">
    <w:name w:val="Unresolved Mention"/>
    <w:basedOn w:val="Fuentedeprrafopredeter"/>
    <w:uiPriority w:val="99"/>
    <w:semiHidden/>
    <w:unhideWhenUsed/>
    <w:rsid w:val="005478FD"/>
    <w:rPr>
      <w:color w:val="605E5C"/>
      <w:shd w:val="clear" w:color="auto" w:fill="E1DFDD"/>
    </w:rPr>
  </w:style>
  <w:style w:type="table" w:styleId="Tablaconcuadrcula">
    <w:name w:val="Table Grid"/>
    <w:basedOn w:val="Tablanormal"/>
    <w:uiPriority w:val="39"/>
    <w:rsid w:val="00920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view.officeapps.live.com/op/view.aspx?src=https%3A%2F%2Fwww.ipec.misiones.gov.ar%2Fwp-content%2Fuploads%2F2024%2F07%2FIPEC-Misiones-Poblacion-y-Viviendas-por-municipio-CNPHyV-2022.xlsx&amp;wdOrigin=BROWSELIN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138</TotalTime>
  <Pages>1</Pages>
  <Words>274</Words>
  <Characters>1511</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Laura Semeguen</dc:creator>
  <cp:keywords/>
  <dc:description/>
  <cp:lastModifiedBy>María Laura Semeguen</cp:lastModifiedBy>
  <cp:revision>12</cp:revision>
  <cp:lastPrinted>2025-09-08T04:45:00Z</cp:lastPrinted>
  <dcterms:created xsi:type="dcterms:W3CDTF">2025-09-03T02:11:00Z</dcterms:created>
  <dcterms:modified xsi:type="dcterms:W3CDTF">2025-09-08T04:45:00Z</dcterms:modified>
</cp:coreProperties>
</file>